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cs="宋体"/>
          <w:color w:val="000000"/>
          <w:kern w:val="0"/>
          <w:sz w:val="32"/>
          <w:szCs w:val="32"/>
        </w:rPr>
        <w:t>第十</w:t>
      </w:r>
      <w:r>
        <w:rPr>
          <w:rFonts w:hint="eastAsia" w:ascii="宋体" w:cs="宋体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宋体" w:cs="宋体"/>
          <w:color w:val="000000"/>
          <w:kern w:val="0"/>
          <w:sz w:val="32"/>
          <w:szCs w:val="32"/>
        </w:rPr>
        <w:t>课 ：复习所学内容（一）</w:t>
      </w:r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、复习发高远球技术。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、复习正反手发网前球技术。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  <w:bookmarkStart w:id="0" w:name="_GoBack"/>
      <w:bookmarkEnd w:id="0"/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rFonts w:hint="eastAsia" w:ascii="宋体" w:cs="宋体"/>
          <w:color w:val="000000"/>
          <w:kern w:val="0"/>
          <w:szCs w:val="21"/>
        </w:rPr>
        <w:t>、发展力量素质。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2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）肩绕环运动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）体前屈运动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3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（一）复习发高远球技术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/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（二）复习正反手发网前球技术</w:t>
            </w: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．教师提出上课时普遍存在的错误动作，及纠正方法。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错误动作：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击球时，协调用力不好，击球无力，球击不到对方后场。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纠正方法：同前。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、学生练习：同前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易犯错误：球挑得不够高、远。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教学步骤：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、素质练习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连续蛙跳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四、课后小结</w:t>
            </w:r>
          </w:p>
          <w:p>
            <w:pPr/>
          </w:p>
          <w:p>
            <w:pPr/>
          </w:p>
        </w:tc>
        <w:tc>
          <w:tcPr>
            <w:tcW w:w="722" w:type="dxa"/>
          </w:tcPr>
          <w:p>
            <w:pPr/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/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、学生练习，队形同前。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易犯错误：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、拍形掌握不好，击球或高或低。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、力量难控制，球的落点或近或远。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纠正方法：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、徒手挥拍练习，提高击球点。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、挥拍时，手臂放松，协调用力。经反复练习，掌握好击球力量。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组织：学生成二路纵队，间隔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米依次出发。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学生队形同准备部分集合队形</w:t>
            </w:r>
          </w:p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95839615">
    <w:nsid w:val="2F6F8C7F"/>
    <w:multiLevelType w:val="multilevel"/>
    <w:tmpl w:val="2F6F8C7F"/>
    <w:lvl w:ilvl="0" w:tentative="1">
      <w:start w:val="1"/>
      <w:numFmt w:val="decimal"/>
      <w:lvlText w:val="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4094339811">
    <w:nsid w:val="F40AAAE3"/>
    <w:multiLevelType w:val="multilevel"/>
    <w:tmpl w:val="F40AAAE3"/>
    <w:lvl w:ilvl="0" w:tentative="1">
      <w:start w:val="1"/>
      <w:numFmt w:val="decimal"/>
      <w:lvlText w:val="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num w:numId="1">
    <w:abstractNumId w:val="795839615"/>
  </w:num>
  <w:num w:numId="2">
    <w:abstractNumId w:val="40943398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DA2"/>
    <w:rsid w:val="00DB7661"/>
    <w:rsid w:val="00E02DA2"/>
    <w:rsid w:val="200010EB"/>
    <w:rsid w:val="6D7B22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2</Pages>
  <Words>677</Words>
  <Characters>219</Characters>
  <Lines>1</Lines>
  <Paragraphs>1</Paragraphs>
  <ScaleCrop>false</ScaleCrop>
  <LinksUpToDate>false</LinksUpToDate>
  <CharactersWithSpaces>895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